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6A5F80F" w:rsidR="00093CA9" w:rsidRDefault="004F5DA2"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1023F1" w:rsidR="00093CA9" w:rsidRDefault="00320463" w:rsidP="00093CA9">
            <w:r w:rsidRPr="00320463">
              <w:t>UAE Energy Strategy 2050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8D56330" w:rsidR="00093CA9" w:rsidRDefault="00ED6FA6" w:rsidP="00093CA9">
            <w:hyperlink r:id="rId17" w:history="1">
              <w:r w:rsidRPr="00ED6FA6">
                <w:rPr>
                  <w:rStyle w:val="Hyperlink"/>
                </w:rPr>
                <w:t>AE_UAE Energy Strategy 2050_Dentons.docx</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624401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8282371" w:rsidR="00093CA9" w:rsidRDefault="00ED6FA6" w:rsidP="00ED6FA6">
            <w:r w:rsidRPr="00ED6FA6">
              <w:t xml:space="preserve">The </w:t>
            </w:r>
            <w:r>
              <w:t>policy tool</w:t>
            </w:r>
            <w:r w:rsidRPr="00ED6FA6">
              <w:t xml:space="preserve"> is a national plan designed to transform the country’s energy sector by 2050. Its main goal is to increase the share of clean energy in the total energy mix to 50%, with 44% coming from renewables and 6% from nuclear sources. The strategy also aims to reduce the carbon footprint of power generation by 70% and improve energy efficiency by 40%. By investing AED 600 billion, the UAE seeks to meet growing energy demand while ensuring sustainable economic growth. This strategy is relevant to transition planning because it provides a clear roadmap for shifting from fossil fuels to a more sustainable, low-carbon energy system, aligning with global climate commitments and supporting economic diversification.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AD4EAAE" w:rsidR="00093CA9" w:rsidRDefault="00042F5A"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6E47266" w:rsidR="00093CA9" w:rsidRDefault="00042F5A" w:rsidP="00093CA9">
            <w:r>
              <w:t xml:space="preserve">The policy tool is a mandatory national strategy that establishes official targets and directives that government entities and the energy sector are required to follow however it is not ratified by law. It is issued and directed by the UAE's federal government and is a government directive therefore it is binding for government ministries, agencies and </w:t>
            </w:r>
            <w:proofErr w:type="gramStart"/>
            <w:r>
              <w:t>s</w:t>
            </w:r>
            <w:r w:rsidR="00B83BC4">
              <w:t>t</w:t>
            </w:r>
            <w:r>
              <w:t>ate owned</w:t>
            </w:r>
            <w:proofErr w:type="gramEnd"/>
            <w:r>
              <w:t xml:space="preserve"> enterprises.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93DB380" w:rsidR="00093CA9" w:rsidRPr="00173D7C" w:rsidRDefault="00042F5A"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DC4D0BB" w:rsidR="00093CA9" w:rsidRPr="007419BF" w:rsidRDefault="001E7EFA" w:rsidP="00093CA9">
            <w:pPr>
              <w:rPr>
                <w:color w:val="000000" w:themeColor="text1"/>
              </w:rPr>
            </w:pPr>
            <w:r>
              <w:rPr>
                <w:color w:val="000000" w:themeColor="text1"/>
              </w:rPr>
              <w:t>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C56E14A" w:rsidR="00093CA9" w:rsidRDefault="001E7EFA" w:rsidP="00093CA9">
            <w:r>
              <w:t xml:space="preserve">The UAE federal government, specifically led by the Ministry of Energy and Infrastructure.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C0DCFBE" w:rsidR="00093CA9" w:rsidRPr="006B7B0D" w:rsidRDefault="001E7EF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45858CE" w:rsidR="00093CA9" w:rsidRDefault="00451CD6"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A3D14EB"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C53C414" w:rsidR="00093CA9" w:rsidRPr="008017F9" w:rsidRDefault="00093CA9" w:rsidP="00451CD6">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657332D" w:rsidR="00C4670C" w:rsidRPr="00C37D48" w:rsidRDefault="00451127"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A53021C" w:rsidR="00C4670C" w:rsidRPr="00C37D48" w:rsidRDefault="00451127"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D84F849" w:rsidR="00C4670C" w:rsidRPr="00C37D48" w:rsidRDefault="00451127"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135FC22" w:rsidR="00C4670C" w:rsidRPr="00C37D48" w:rsidRDefault="00451127"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5724D26" w:rsidR="00C4670C" w:rsidRPr="00C37D48" w:rsidRDefault="00451127" w:rsidP="00C37D48">
            <w:pPr>
              <w:rPr>
                <w:rFonts w:ascii="Calibri" w:hAnsi="Calibri" w:cs="Calibri"/>
              </w:rPr>
            </w:pPr>
            <w:r>
              <w:rPr>
                <w:rFonts w:ascii="Calibri" w:hAnsi="Calibri" w:cs="Calibri"/>
              </w:rPr>
              <w:t>X</w:t>
            </w:r>
          </w:p>
        </w:tc>
        <w:tc>
          <w:tcPr>
            <w:tcW w:w="1614" w:type="dxa"/>
            <w:vAlign w:val="center"/>
          </w:tcPr>
          <w:p w14:paraId="0962017D" w14:textId="3E837D7F"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1D0686BF" w:rsidR="00C4670C" w:rsidRPr="00C37D48" w:rsidRDefault="00451127"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E6BFBFF" w:rsidR="00C4670C" w:rsidRPr="00C37D48" w:rsidRDefault="00451127"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FAF185D" w:rsidR="00C4670C" w:rsidRPr="00C37D48" w:rsidRDefault="0045112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6B46807F" w:rsidR="00C4670C" w:rsidRPr="00C37D48" w:rsidRDefault="0045112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ABC8ABE" w:rsidR="00C4670C" w:rsidRPr="00C37D48" w:rsidRDefault="00451127"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E233F36" w:rsidR="00C4670C" w:rsidRPr="00C37D48" w:rsidRDefault="00451127"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6A7212C" w:rsidR="00C4670C" w:rsidRPr="00C37D48" w:rsidRDefault="00451127" w:rsidP="00C37D48">
            <w:pPr>
              <w:rPr>
                <w:rFonts w:ascii="Calibri" w:hAnsi="Calibri" w:cs="Calibri"/>
              </w:rPr>
            </w:pPr>
            <w:r>
              <w:rPr>
                <w:rFonts w:ascii="Calibri" w:hAnsi="Calibri" w:cs="Calibri"/>
              </w:rPr>
              <w:t>X</w:t>
            </w:r>
          </w:p>
        </w:tc>
        <w:tc>
          <w:tcPr>
            <w:tcW w:w="1614" w:type="dxa"/>
            <w:vAlign w:val="center"/>
          </w:tcPr>
          <w:p w14:paraId="15FFC7AD" w14:textId="74E79A79" w:rsidR="00C4670C" w:rsidRPr="00C37D48" w:rsidRDefault="00451127"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1E54DD5" w:rsidR="00C4670C" w:rsidRPr="00C37D48" w:rsidRDefault="00451127"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0F7E59F5"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903788A"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D4DCD7D"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2CD12B2C"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6F720D13"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056C86CB" w:rsidR="004F276F" w:rsidRPr="00C37D48" w:rsidRDefault="00451127"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17C55C73"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49C7982F"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09785530"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6868C8C2" w:rsidR="004F276F" w:rsidRPr="00C37D48" w:rsidRDefault="00451127"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6EAAEC5" w:rsidR="004F276F" w:rsidRPr="00C37D48" w:rsidRDefault="00451127"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443F6B72" w:rsidR="004F276F" w:rsidRPr="00C37D48" w:rsidRDefault="00451127"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5009D0E0"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239F00C3"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25ECF516"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0E8301F8"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52EF4AAE"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4110C8E8"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3BF84200"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3E08CC0C"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288BE39" w:rsidR="004F276F" w:rsidRPr="00C37D48" w:rsidRDefault="00451127"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02F6970F"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490DC1C9"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2FD023B9"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5EF749AB" w:rsidR="004F276F" w:rsidRPr="00C37D48" w:rsidRDefault="00451127"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FD220AD" w:rsidR="004F276F" w:rsidRPr="00C37D48" w:rsidRDefault="00451127"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B3C7AD8" w:rsidR="004F276F" w:rsidRPr="00C37D48" w:rsidRDefault="00451127"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6A417CD2" w:rsidR="004F276F" w:rsidRPr="00C37D48" w:rsidRDefault="00451127"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CC98499" w14:textId="4DF32C22" w:rsidR="00451127" w:rsidRPr="00451127" w:rsidRDefault="00451127" w:rsidP="00451127">
            <w:pPr>
              <w:rPr>
                <w:rFonts w:ascii="Calibri" w:hAnsi="Calibri" w:cs="Calibri"/>
              </w:rPr>
            </w:pPr>
            <w:r w:rsidRPr="00451127">
              <w:rPr>
                <w:rFonts w:ascii="Calibri" w:hAnsi="Calibri" w:cs="Calibri"/>
                <w:b/>
                <w:bCs/>
              </w:rPr>
              <w:t>Mandatory:</w:t>
            </w:r>
            <w:r w:rsidRPr="00451127">
              <w:rPr>
                <w:rFonts w:ascii="Calibri" w:hAnsi="Calibri" w:cs="Calibri"/>
              </w:rPr>
              <w:t xml:space="preserve"> Sectors that are directly regulated or where the policy sets specific targets and standards (e.g., utilities, water, construction, public administration).</w:t>
            </w:r>
          </w:p>
          <w:p w14:paraId="41EA3B18" w14:textId="04F0F17E" w:rsidR="004F276F" w:rsidRPr="00C37D48" w:rsidRDefault="00451127" w:rsidP="00451127">
            <w:pPr>
              <w:rPr>
                <w:rFonts w:ascii="Calibri" w:hAnsi="Calibri" w:cs="Calibri"/>
              </w:rPr>
            </w:pPr>
            <w:r w:rsidRPr="00451127">
              <w:rPr>
                <w:rFonts w:ascii="Calibri" w:hAnsi="Calibri" w:cs="Calibri"/>
                <w:b/>
                <w:bCs/>
              </w:rPr>
              <w:t>Voluntary:</w:t>
            </w:r>
            <w:r w:rsidRPr="00451127">
              <w:rPr>
                <w:rFonts w:ascii="Calibri" w:hAnsi="Calibri" w:cs="Calibri"/>
              </w:rPr>
              <w:t xml:space="preserve"> Sectors encouraged to align with the strategy, adopt efficiency measures, or participate in sustainability initiatives, but not directly mandated.</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27E27DC5" w:rsidR="004F276F" w:rsidRPr="00C37D48" w:rsidRDefault="00451127" w:rsidP="00C37D48">
            <w:pPr>
              <w:rPr>
                <w:rFonts w:ascii="Calibri" w:hAnsi="Calibri" w:cs="Calibri"/>
              </w:rPr>
            </w:pPr>
            <w:r>
              <w:rPr>
                <w:rFonts w:ascii="Calibri" w:hAnsi="Calibri" w:cs="Calibri"/>
              </w:rPr>
              <w:t>Entities to be headquartered or operate within the UAE.</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6FFA4E4" w:rsidR="004F276F" w:rsidRPr="00C37D48" w:rsidRDefault="0045112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B05FD46" w:rsidR="004F276F" w:rsidRPr="00C37D48" w:rsidRDefault="00251585"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5608AFCA" w:rsidR="00711F61" w:rsidRPr="00C37D48" w:rsidRDefault="00251585" w:rsidP="00251585">
            <w:pPr>
              <w:rPr>
                <w:rFonts w:ascii="Calibri" w:hAnsi="Calibri" w:cs="Calibri"/>
              </w:rPr>
            </w:pPr>
            <w:r w:rsidRPr="00251585">
              <w:rPr>
                <w:rFonts w:ascii="Calibri" w:hAnsi="Calibri" w:cs="Calibri"/>
              </w:rPr>
              <w:t>The strategy does not directly outline sanctions for non-compliance. If sanctions exist, they would be specified in the implementing regulations or sectoral laws—such as building codes or energy efficiency standards—issued under the framework of the strategy. These sector-specific regulations may include measures such as monetary fines, business restrictions, or other penalties, depending on the relevant authority and the nature of the violation. For entities to which the strategy is voluntary, sanctions do not apply.</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4A1D312A" w:rsidR="001F30DE" w:rsidRPr="00C37D48" w:rsidRDefault="00251585"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93D8722" w14:textId="3630DC22" w:rsidR="00251585" w:rsidRPr="00251585" w:rsidRDefault="00251585" w:rsidP="00251585">
            <w:pPr>
              <w:rPr>
                <w:rFonts w:ascii="Calibri" w:hAnsi="Calibri" w:cs="Calibri"/>
              </w:rPr>
            </w:pPr>
            <w:r w:rsidRPr="00251585">
              <w:rPr>
                <w:rFonts w:ascii="Calibri" w:hAnsi="Calibri" w:cs="Calibri"/>
                <w:b/>
                <w:bCs/>
              </w:rPr>
              <w:t>Follow-up regulations:</w:t>
            </w:r>
            <w:r w:rsidRPr="00251585">
              <w:rPr>
                <w:rFonts w:ascii="Calibri" w:hAnsi="Calibri" w:cs="Calibri"/>
              </w:rPr>
              <w:t xml:space="preserve"> Sector-specific regulations and standards (such as energy efficiency requirements, green building codes, and appliance standards) have been developed and are being enforced in line with the strategy’s objectives. </w:t>
            </w:r>
          </w:p>
          <w:p w14:paraId="0875F33B" w14:textId="600E488E" w:rsidR="00251585" w:rsidRPr="00251585" w:rsidRDefault="00251585" w:rsidP="00251585">
            <w:pPr>
              <w:rPr>
                <w:rFonts w:ascii="Calibri" w:hAnsi="Calibri" w:cs="Calibri"/>
              </w:rPr>
            </w:pPr>
            <w:r w:rsidRPr="00251585">
              <w:rPr>
                <w:rFonts w:ascii="Calibri" w:hAnsi="Calibri" w:cs="Calibri"/>
                <w:b/>
                <w:bCs/>
              </w:rPr>
              <w:t>Initiatives launched:</w:t>
            </w:r>
            <w:r w:rsidRPr="00251585">
              <w:rPr>
                <w:rFonts w:ascii="Calibri" w:hAnsi="Calibri" w:cs="Calibri"/>
              </w:rPr>
              <w:t xml:space="preserve"> Numerous national programs and initiatives have been launched, such as the National Water and Energy Demand Management Program, public awareness campaigns, and incentives for renewable energy adoption. </w:t>
            </w:r>
          </w:p>
          <w:p w14:paraId="3000C3AD" w14:textId="046D9C0C" w:rsidR="00251585" w:rsidRPr="00251585" w:rsidRDefault="00251585" w:rsidP="00251585">
            <w:pPr>
              <w:rPr>
                <w:rFonts w:ascii="Calibri" w:hAnsi="Calibri" w:cs="Calibri"/>
              </w:rPr>
            </w:pPr>
            <w:r w:rsidRPr="00251585">
              <w:rPr>
                <w:rFonts w:ascii="Calibri" w:hAnsi="Calibri" w:cs="Calibri"/>
                <w:b/>
                <w:bCs/>
              </w:rPr>
              <w:t>Funding allocated:</w:t>
            </w:r>
            <w:r w:rsidRPr="00251585">
              <w:rPr>
                <w:rFonts w:ascii="Calibri" w:hAnsi="Calibri" w:cs="Calibri"/>
              </w:rPr>
              <w:t xml:space="preserve"> Significant funding has been committed, with the strategy itself referencing AED 600 billion in investments by 2050 to support energy transition projects, infrastructure, and innovation. </w:t>
            </w:r>
          </w:p>
          <w:p w14:paraId="3BA84EFA" w14:textId="508457A5" w:rsidR="001F30DE" w:rsidRPr="00C37D48" w:rsidRDefault="00251585" w:rsidP="00251585">
            <w:pPr>
              <w:rPr>
                <w:rFonts w:ascii="Calibri" w:hAnsi="Calibri" w:cs="Calibri"/>
              </w:rPr>
            </w:pPr>
            <w:r w:rsidRPr="00251585">
              <w:rPr>
                <w:rFonts w:ascii="Calibri" w:hAnsi="Calibri" w:cs="Calibri"/>
                <w:b/>
                <w:bCs/>
              </w:rPr>
              <w:t>Voluntary engagement:</w:t>
            </w:r>
            <w:r w:rsidRPr="00251585">
              <w:rPr>
                <w:rFonts w:ascii="Calibri" w:hAnsi="Calibri" w:cs="Calibri"/>
              </w:rPr>
              <w:t xml:space="preserve"> Private sector entities, financial institutions, and other non-mandatory actors are participating through voluntary green finance initiatives, partnerships, and alignment with national sustainability goals.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1D037A8" w:rsidR="001F30DE" w:rsidRPr="00C37D48" w:rsidRDefault="00251585"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5D37C3DD" w:rsidR="001F30DE" w:rsidRPr="00C37D48" w:rsidRDefault="004302D7"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77018FA" w:rsidR="004F48E8" w:rsidRPr="00C37D48" w:rsidRDefault="004302D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4ECC8751"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6E647B0F"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442A02B"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7B07702D" w:rsidR="000A1365" w:rsidRPr="00C37D48" w:rsidRDefault="006B2334"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2743D8D6" w:rsidR="00850F36" w:rsidRPr="00C37D48" w:rsidRDefault="006B2334"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0E25CD6" w:rsidR="00850F36" w:rsidRPr="00C37D48" w:rsidRDefault="006B2334"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37106871" w:rsidR="00850F36" w:rsidRPr="00C37D48" w:rsidRDefault="006B2334"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0B8383B5"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4F606343"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3FCCD722"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30660C5E" w:rsidR="00850F36" w:rsidRPr="00C37D48" w:rsidRDefault="006B2334"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55F543E5"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3D3A888D"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09955355"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40AA89A5"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696F4765"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6D12E054" w:rsidR="00850F36" w:rsidRPr="00C37D48" w:rsidRDefault="006B2334"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8B381FA" w14:textId="4A5E01D0" w:rsidR="00DB6540" w:rsidRPr="00DB6540" w:rsidRDefault="00DB6540" w:rsidP="00DB6540">
            <w:pPr>
              <w:rPr>
                <w:rFonts w:ascii="Calibri" w:hAnsi="Calibri" w:cs="Calibri"/>
              </w:rPr>
            </w:pPr>
            <w:r w:rsidRPr="00DB6540">
              <w:rPr>
                <w:rFonts w:ascii="Calibri" w:hAnsi="Calibri" w:cs="Calibri"/>
                <w:b/>
                <w:bCs/>
              </w:rPr>
              <w:t>Absolute emissions reductions target:</w:t>
            </w:r>
            <w:r w:rsidRPr="00DB6540">
              <w:rPr>
                <w:rFonts w:ascii="Calibri" w:hAnsi="Calibri" w:cs="Calibri"/>
              </w:rPr>
              <w:t xml:space="preserve"> The strategy mandates a reduction in carbon emissions in carbon-intensive sectors in the UAE by 2050.</w:t>
            </w:r>
            <w:r>
              <w:rPr>
                <w:rFonts w:ascii="Calibri" w:hAnsi="Calibri" w:cs="Calibri"/>
              </w:rPr>
              <w:t xml:space="preserve"> </w:t>
            </w:r>
            <w:r w:rsidRPr="00DB6540">
              <w:rPr>
                <w:rFonts w:ascii="Calibri" w:hAnsi="Calibri" w:cs="Calibri"/>
              </w:rPr>
              <w:t>(Page 8)</w:t>
            </w:r>
          </w:p>
          <w:p w14:paraId="6517639A" w14:textId="6D1A1E90" w:rsidR="00DB6540" w:rsidRPr="00DB6540" w:rsidRDefault="00DB6540" w:rsidP="00DB6540">
            <w:pPr>
              <w:rPr>
                <w:rFonts w:ascii="Calibri" w:hAnsi="Calibri" w:cs="Calibri"/>
              </w:rPr>
            </w:pPr>
            <w:r w:rsidRPr="00DB6540">
              <w:rPr>
                <w:rFonts w:ascii="Calibri" w:hAnsi="Calibri" w:cs="Calibri"/>
                <w:b/>
                <w:bCs/>
              </w:rPr>
              <w:t>Net zero target:</w:t>
            </w:r>
            <w:r w:rsidRPr="00DB6540">
              <w:rPr>
                <w:rFonts w:ascii="Calibri" w:hAnsi="Calibri" w:cs="Calibri"/>
              </w:rPr>
              <w:t xml:space="preserve"> The strategy aligns with the UAE’s national commitment to achieve net zero emissions by 2050.</w:t>
            </w:r>
            <w:r>
              <w:rPr>
                <w:rFonts w:ascii="Calibri" w:hAnsi="Calibri" w:cs="Calibri"/>
              </w:rPr>
              <w:t xml:space="preserve"> </w:t>
            </w:r>
            <w:r w:rsidRPr="00DB6540">
              <w:rPr>
                <w:rFonts w:ascii="Calibri" w:hAnsi="Calibri" w:cs="Calibri"/>
              </w:rPr>
              <w:t>(Page 8)</w:t>
            </w:r>
          </w:p>
          <w:p w14:paraId="508F26D6" w14:textId="77777777" w:rsidR="00D9431B" w:rsidRDefault="00DB6540" w:rsidP="00DB6540">
            <w:pPr>
              <w:rPr>
                <w:rFonts w:ascii="Calibri" w:hAnsi="Calibri" w:cs="Calibri"/>
              </w:rPr>
            </w:pPr>
            <w:r w:rsidRPr="00DB6540">
              <w:rPr>
                <w:rFonts w:ascii="Calibri" w:hAnsi="Calibri" w:cs="Calibri"/>
                <w:b/>
                <w:bCs/>
              </w:rPr>
              <w:lastRenderedPageBreak/>
              <w:t>Targets for renewable energy procurement:</w:t>
            </w:r>
            <w:r w:rsidRPr="00DB6540">
              <w:rPr>
                <w:rFonts w:ascii="Calibri" w:hAnsi="Calibri" w:cs="Calibri"/>
              </w:rPr>
              <w:t xml:space="preserve"> The strategy requires a significant share of the UAE’s energy mix to come from clean energy sources by 2050, with explicit reference to increasing efficiency and integrating renewables in highly intensive sectors.</w:t>
            </w:r>
            <w:r>
              <w:rPr>
                <w:rFonts w:ascii="Calibri" w:hAnsi="Calibri" w:cs="Calibri"/>
              </w:rPr>
              <w:t xml:space="preserve"> </w:t>
            </w:r>
            <w:r w:rsidRPr="00DB6540">
              <w:rPr>
                <w:rFonts w:ascii="Calibri" w:hAnsi="Calibri" w:cs="Calibri"/>
              </w:rPr>
              <w:t>(Page 8)</w:t>
            </w:r>
          </w:p>
          <w:p w14:paraId="20CA8168" w14:textId="2384C5D9" w:rsidR="00DB6540" w:rsidRPr="00C37D48" w:rsidRDefault="00DB6540" w:rsidP="00DB6540">
            <w:pPr>
              <w:rPr>
                <w:rFonts w:ascii="Calibri" w:hAnsi="Calibri" w:cs="Calibri"/>
              </w:rPr>
            </w:pPr>
            <w:r w:rsidRPr="00DB6540">
              <w:rPr>
                <w:rFonts w:ascii="Calibri" w:hAnsi="Calibri" w:cs="Calibri"/>
                <w:b/>
                <w:bCs/>
              </w:rPr>
              <w:t>Other recommended targets (e.g., adaptation, just transition, sectoral decarbonisation):</w:t>
            </w:r>
            <w:r w:rsidRPr="00DB6540">
              <w:rPr>
                <w:rFonts w:ascii="Calibri" w:hAnsi="Calibri" w:cs="Calibri"/>
              </w:rPr>
              <w:t xml:space="preserve"> The strategy references and encourages alignment with broader national strategies such as the National Strategy for Wellbeing 2031 and Net Zero Strategy 2050.</w:t>
            </w:r>
            <w:r>
              <w:rPr>
                <w:rFonts w:ascii="Calibri" w:hAnsi="Calibri" w:cs="Calibri"/>
              </w:rPr>
              <w:t xml:space="preserve"> </w:t>
            </w:r>
            <w:r w:rsidRPr="00DB6540">
              <w:rPr>
                <w:rFonts w:ascii="Calibri" w:hAnsi="Calibri" w:cs="Calibri"/>
              </w:rPr>
              <w:t>(Page 8)</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E1E30B4" w:rsidR="000A1365" w:rsidRPr="00C37D48" w:rsidRDefault="00DB6540"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C95103E" w:rsidR="00C81DE5" w:rsidRPr="00C37D48" w:rsidRDefault="00DB6540"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4904EC5A" w:rsidR="000A1365" w:rsidRPr="00C37D48" w:rsidRDefault="00DB6540"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5955C50E" w:rsidR="000A1365" w:rsidRPr="00C37D48" w:rsidRDefault="00DA4114"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9648FE7" w:rsidR="000A1365" w:rsidRPr="00C37D48" w:rsidRDefault="00DA4114"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6F772F4" w:rsidR="000A1365" w:rsidRPr="00C37D48" w:rsidRDefault="00DA4114"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E01C3EC" w:rsidR="000A1365" w:rsidRPr="00C37D48" w:rsidRDefault="00DA4114"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FD29C5F" w:rsidR="00D9431B" w:rsidRPr="00C37D48" w:rsidRDefault="007B142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A2780C5" w:rsidR="00890032" w:rsidRPr="00C37D48" w:rsidRDefault="00D84EDE"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0648C43" w:rsidR="003618D4" w:rsidRPr="00C37D48" w:rsidRDefault="00D84EDE"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4C65A14F" w:rsidR="003618D4" w:rsidRPr="00C37D48" w:rsidRDefault="00D84EDE"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1EA2BAA" w:rsidR="003618D4" w:rsidRPr="00C37D48" w:rsidRDefault="00D84EDE"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F99FC0A" w:rsidR="003618D4" w:rsidRPr="00C37D48" w:rsidRDefault="00D84EDE"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31A0FA19" w:rsidR="003618D4" w:rsidRPr="00C37D48" w:rsidRDefault="00D84EDE"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1166D909" w:rsidR="003618D4" w:rsidRPr="00C37D48" w:rsidRDefault="00D84EDE"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0BD532C" w14:textId="64054B0F" w:rsidR="00D84EDE" w:rsidRPr="00D84EDE" w:rsidRDefault="00D84EDE" w:rsidP="00D84EDE">
            <w:pPr>
              <w:rPr>
                <w:rFonts w:ascii="Calibri" w:hAnsi="Calibri" w:cs="Calibri"/>
              </w:rPr>
            </w:pPr>
            <w:r w:rsidRPr="00D84EDE">
              <w:rPr>
                <w:rFonts w:ascii="Calibri" w:hAnsi="Calibri" w:cs="Calibri"/>
                <w:b/>
                <w:bCs/>
              </w:rPr>
              <w:t>A timeframe for the transition pla</w:t>
            </w:r>
            <w:r>
              <w:rPr>
                <w:rFonts w:ascii="Calibri" w:hAnsi="Calibri" w:cs="Calibri"/>
                <w:b/>
                <w:bCs/>
              </w:rPr>
              <w:t>n</w:t>
            </w:r>
            <w:r w:rsidRPr="00D84EDE">
              <w:rPr>
                <w:rFonts w:ascii="Calibri" w:hAnsi="Calibri" w:cs="Calibri"/>
                <w:b/>
                <w:bCs/>
              </w:rPr>
              <w:t>:</w:t>
            </w:r>
            <w:r w:rsidRPr="00D84EDE">
              <w:rPr>
                <w:rFonts w:ascii="Calibri" w:hAnsi="Calibri" w:cs="Calibri"/>
              </w:rPr>
              <w:br/>
              <w:t>The strategy sets a clear long-term timeframe, requiring entities to align their plans and actions with the national goal of achieving significant emissions reductions and clean energy targets by 2050.</w:t>
            </w:r>
            <w:r>
              <w:rPr>
                <w:rFonts w:ascii="Calibri" w:hAnsi="Calibri" w:cs="Calibri"/>
              </w:rPr>
              <w:t xml:space="preserve"> (Page 8)</w:t>
            </w:r>
          </w:p>
          <w:p w14:paraId="1A2C7DDB" w14:textId="5FA46DCF" w:rsidR="00D84EDE" w:rsidRPr="00D84EDE" w:rsidRDefault="00D84EDE" w:rsidP="00D84EDE">
            <w:pPr>
              <w:rPr>
                <w:rFonts w:ascii="Calibri" w:hAnsi="Calibri" w:cs="Calibri"/>
              </w:rPr>
            </w:pPr>
            <w:r w:rsidRPr="00D84EDE">
              <w:rPr>
                <w:rFonts w:ascii="Calibri" w:hAnsi="Calibri" w:cs="Calibri"/>
                <w:b/>
                <w:bCs/>
              </w:rPr>
              <w:t>Key performance indicators (KPIs) for monitoring transition plan implementation</w:t>
            </w:r>
            <w:r>
              <w:rPr>
                <w:rFonts w:ascii="Calibri" w:hAnsi="Calibri" w:cs="Calibri"/>
                <w:b/>
                <w:bCs/>
              </w:rPr>
              <w:t>:</w:t>
            </w:r>
            <w:r w:rsidR="00923BDB">
              <w:rPr>
                <w:rFonts w:ascii="Calibri" w:hAnsi="Calibri" w:cs="Calibri"/>
                <w:b/>
                <w:bCs/>
              </w:rPr>
              <w:t xml:space="preserve"> </w:t>
            </w:r>
            <w:r w:rsidRPr="00D84EDE">
              <w:rPr>
                <w:rFonts w:ascii="Calibri" w:hAnsi="Calibri" w:cs="Calibri"/>
              </w:rPr>
              <w:t xml:space="preserve">The strategy encourages monitoring and reporting progress through sectoral programs and </w:t>
            </w:r>
            <w:r w:rsidRPr="00D84EDE">
              <w:rPr>
                <w:rFonts w:ascii="Calibri" w:hAnsi="Calibri" w:cs="Calibri"/>
              </w:rPr>
              <w:lastRenderedPageBreak/>
              <w:t>national initiatives, implying the use of KPIs to track efficiency, emissions, and renewable energy adoption.</w:t>
            </w:r>
            <w:r w:rsidR="00923BDB">
              <w:rPr>
                <w:rFonts w:ascii="Calibri" w:hAnsi="Calibri" w:cs="Calibri"/>
              </w:rPr>
              <w:t xml:space="preserve"> (Page 8)</w:t>
            </w:r>
          </w:p>
          <w:p w14:paraId="0156F395" w14:textId="5E362E8B" w:rsidR="00923BDB" w:rsidRPr="00D84EDE" w:rsidRDefault="00D84EDE" w:rsidP="00923BDB">
            <w:pPr>
              <w:rPr>
                <w:rFonts w:ascii="Calibri" w:hAnsi="Calibri" w:cs="Calibri"/>
              </w:rPr>
            </w:pPr>
            <w:r w:rsidRPr="00D84EDE">
              <w:rPr>
                <w:rFonts w:ascii="Calibri" w:hAnsi="Calibri" w:cs="Calibri"/>
                <w:b/>
                <w:bCs/>
              </w:rPr>
              <w:t>Updates to the transition pla</w:t>
            </w:r>
            <w:r w:rsidR="00923BDB">
              <w:rPr>
                <w:rFonts w:ascii="Calibri" w:hAnsi="Calibri" w:cs="Calibri"/>
                <w:b/>
                <w:bCs/>
              </w:rPr>
              <w:t xml:space="preserve">n: </w:t>
            </w:r>
            <w:r w:rsidRPr="00D84EDE">
              <w:rPr>
                <w:rFonts w:ascii="Calibri" w:hAnsi="Calibri" w:cs="Calibri"/>
              </w:rPr>
              <w:t>The strategy references ongoing alignment with national programs and evolving objectives, recommending that entities periodically review and update their plans to remain consistent with national strategies.</w:t>
            </w:r>
            <w:r w:rsidR="00923BDB">
              <w:rPr>
                <w:rFonts w:ascii="Calibri" w:hAnsi="Calibri" w:cs="Calibri"/>
              </w:rPr>
              <w:t xml:space="preserve"> (Page 8)</w:t>
            </w:r>
          </w:p>
          <w:p w14:paraId="257A4329" w14:textId="72DC43EF" w:rsidR="00D84EDE" w:rsidRPr="00D84EDE" w:rsidRDefault="00D84EDE" w:rsidP="00D84EDE">
            <w:pPr>
              <w:rPr>
                <w:rFonts w:ascii="Calibri" w:hAnsi="Calibri" w:cs="Calibri"/>
              </w:rPr>
            </w:pPr>
            <w:r w:rsidRPr="00D84EDE">
              <w:rPr>
                <w:rFonts w:ascii="Calibri" w:hAnsi="Calibri" w:cs="Calibri"/>
                <w:b/>
                <w:bCs/>
              </w:rPr>
              <w:t>Identified methodology for scenario analysis</w:t>
            </w:r>
            <w:r w:rsidR="00923BDB">
              <w:rPr>
                <w:rFonts w:ascii="Calibri" w:hAnsi="Calibri" w:cs="Calibri"/>
                <w:b/>
                <w:bCs/>
              </w:rPr>
              <w:t xml:space="preserve">: </w:t>
            </w:r>
            <w:r w:rsidRPr="00D84EDE">
              <w:rPr>
                <w:rFonts w:ascii="Calibri" w:hAnsi="Calibri" w:cs="Calibri"/>
              </w:rPr>
              <w:t>The strategy encourages scenario planning and integration with sectoral and national strategies, recommending the use of methodologies for scenario analysis to support effective transition planning.</w:t>
            </w:r>
            <w:r w:rsidR="00923BDB">
              <w:rPr>
                <w:rFonts w:ascii="Calibri" w:hAnsi="Calibri" w:cs="Calibri"/>
              </w:rPr>
              <w:t xml:space="preserve"> (Page 8)</w:t>
            </w:r>
          </w:p>
          <w:p w14:paraId="475AE54F" w14:textId="0650A0D1" w:rsidR="005733AF" w:rsidRPr="00C37D48" w:rsidRDefault="00D84EDE" w:rsidP="00D84EDE">
            <w:pPr>
              <w:rPr>
                <w:rFonts w:ascii="Calibri" w:hAnsi="Calibri" w:cs="Calibri"/>
              </w:rPr>
            </w:pPr>
            <w:r w:rsidRPr="00D84EDE">
              <w:rPr>
                <w:rFonts w:ascii="Calibri" w:hAnsi="Calibri" w:cs="Calibri"/>
                <w:b/>
                <w:bCs/>
              </w:rPr>
              <w:t>Incorporation of climate change considerations into capital allocation and/or expenditure plans</w:t>
            </w:r>
            <w:r w:rsidR="00923BDB">
              <w:rPr>
                <w:rFonts w:ascii="Calibri" w:hAnsi="Calibri" w:cs="Calibri"/>
                <w:b/>
                <w:bCs/>
              </w:rPr>
              <w:t xml:space="preserve">: </w:t>
            </w:r>
            <w:r w:rsidRPr="00D84EDE">
              <w:rPr>
                <w:rFonts w:ascii="Calibri" w:hAnsi="Calibri" w:cs="Calibri"/>
              </w:rPr>
              <w:t>The strategy recommends integrating climate and sustainability considerations into investment and expenditure planning, as evidenced by the allocation of AED 600 billion for the energy transition.</w:t>
            </w:r>
            <w:r w:rsidR="00923BDB">
              <w:rPr>
                <w:rFonts w:ascii="Calibri" w:hAnsi="Calibri" w:cs="Calibri"/>
              </w:rPr>
              <w:t xml:space="preserve"> (Page 8)</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791F3F01" w:rsidR="00E7486E" w:rsidRPr="00C37D48" w:rsidRDefault="00923BDB"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6080458" w:rsidR="00E7486E" w:rsidRPr="00C37D48" w:rsidRDefault="00923BDB" w:rsidP="00923BDB">
            <w:pPr>
              <w:rPr>
                <w:rFonts w:ascii="Calibri" w:hAnsi="Calibri" w:cs="Calibri"/>
              </w:rPr>
            </w:pPr>
            <w:r w:rsidRPr="00923BDB">
              <w:rPr>
                <w:rFonts w:ascii="Calibri" w:hAnsi="Calibri" w:cs="Calibri"/>
              </w:rPr>
              <w:t xml:space="preserve">The </w:t>
            </w:r>
            <w:r>
              <w:rPr>
                <w:rFonts w:ascii="Calibri" w:hAnsi="Calibri" w:cs="Calibri"/>
              </w:rPr>
              <w:t>policy tool</w:t>
            </w:r>
            <w:r w:rsidRPr="00923BDB">
              <w:rPr>
                <w:rFonts w:ascii="Calibri" w:hAnsi="Calibri" w:cs="Calibri"/>
              </w:rPr>
              <w:t xml:space="preserve"> </w:t>
            </w:r>
            <w:r w:rsidRPr="00923BDB">
              <w:rPr>
                <w:rFonts w:ascii="Calibri" w:hAnsi="Calibri" w:cs="Calibri"/>
                <w:b/>
                <w:bCs/>
              </w:rPr>
              <w:t>recommends</w:t>
            </w:r>
            <w:r w:rsidRPr="00923BDB">
              <w:rPr>
                <w:rFonts w:ascii="Calibri" w:hAnsi="Calibri" w:cs="Calibri"/>
              </w:rPr>
              <w:t xml:space="preserve"> that entities monitor progress in implementing their transition plans. The strategy encourages ongoing tracking of energy efficiency, emissions reductions, and renewable energy adoption through sectoral programs and national initiatives, though it does not universally mandate monitoring for all entities.</w:t>
            </w:r>
            <w:r>
              <w:rPr>
                <w:rFonts w:ascii="Calibri" w:hAnsi="Calibri" w:cs="Calibri"/>
              </w:rPr>
              <w:t xml:space="preserve"> (Page 8)</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2B006409" w:rsidR="00671EA4" w:rsidRPr="00C37D48" w:rsidRDefault="00913DDE"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682A0AB" w:rsidR="00B610C2" w:rsidRPr="00610F28" w:rsidRDefault="0097042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C5A62E3" w:rsidR="00B610C2" w:rsidRPr="00610F28" w:rsidRDefault="0097042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2908319" w:rsidR="00B610C2" w:rsidRPr="00610F28" w:rsidRDefault="0097042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C33A253" w:rsidR="00B610C2" w:rsidRPr="00610F28" w:rsidRDefault="0097042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3E70D84" w:rsidR="00B610C2" w:rsidRPr="00610F28" w:rsidRDefault="0097042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1FE3FBE" w:rsidR="00B610C2" w:rsidRPr="00610F28" w:rsidRDefault="0097042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C950DFD" w:rsidR="00B610C2" w:rsidRPr="00610F28" w:rsidRDefault="0097042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3DAD11C" w:rsidR="00B610C2" w:rsidRPr="00610F28" w:rsidRDefault="0097042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9CA603C" w:rsidR="00B610C2" w:rsidRPr="00610F28" w:rsidRDefault="0097042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2BB62CE" w:rsidR="00B610C2" w:rsidRPr="00610F28" w:rsidRDefault="0097042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1E03E1B" w:rsidR="00B610C2" w:rsidRPr="00610F28" w:rsidRDefault="0097042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BE4D97" w14:textId="77777777" w:rsidR="00C6178D" w:rsidRDefault="00C6178D" w:rsidP="00874E39">
      <w:r>
        <w:separator/>
      </w:r>
    </w:p>
  </w:endnote>
  <w:endnote w:type="continuationSeparator" w:id="0">
    <w:p w14:paraId="71BED227" w14:textId="77777777" w:rsidR="00C6178D" w:rsidRDefault="00C6178D" w:rsidP="00874E39">
      <w:r>
        <w:continuationSeparator/>
      </w:r>
    </w:p>
  </w:endnote>
  <w:endnote w:type="continuationNotice" w:id="1">
    <w:p w14:paraId="19B575B6" w14:textId="77777777" w:rsidR="00C6178D" w:rsidRDefault="00C617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5953A6" w14:textId="77777777" w:rsidR="00C6178D" w:rsidRDefault="00C6178D" w:rsidP="00874E39">
      <w:r>
        <w:separator/>
      </w:r>
    </w:p>
  </w:footnote>
  <w:footnote w:type="continuationSeparator" w:id="0">
    <w:p w14:paraId="3ECC45A0" w14:textId="77777777" w:rsidR="00C6178D" w:rsidRDefault="00C6178D" w:rsidP="00874E39">
      <w:r>
        <w:continuationSeparator/>
      </w:r>
    </w:p>
  </w:footnote>
  <w:footnote w:type="continuationNotice" w:id="1">
    <w:p w14:paraId="049FA748" w14:textId="77777777" w:rsidR="00C6178D" w:rsidRDefault="00C617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2F5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A0E"/>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A"/>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585"/>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2D7"/>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127"/>
    <w:rsid w:val="004514AB"/>
    <w:rsid w:val="00451CD6"/>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DA2"/>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334"/>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42E"/>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6B2E"/>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DDE"/>
    <w:rsid w:val="00913FA1"/>
    <w:rsid w:val="00914A85"/>
    <w:rsid w:val="00915243"/>
    <w:rsid w:val="00916A78"/>
    <w:rsid w:val="009177A2"/>
    <w:rsid w:val="00917876"/>
    <w:rsid w:val="00920154"/>
    <w:rsid w:val="00921319"/>
    <w:rsid w:val="00921386"/>
    <w:rsid w:val="00923BDB"/>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42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BC4"/>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17C"/>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78D"/>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EDE"/>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14"/>
    <w:rsid w:val="00DA416F"/>
    <w:rsid w:val="00DA420C"/>
    <w:rsid w:val="00DA63F5"/>
    <w:rsid w:val="00DA6F09"/>
    <w:rsid w:val="00DA7A9F"/>
    <w:rsid w:val="00DB02EB"/>
    <w:rsid w:val="00DB1960"/>
    <w:rsid w:val="00DB1E72"/>
    <w:rsid w:val="00DB2C4B"/>
    <w:rsid w:val="00DB2CAA"/>
    <w:rsid w:val="00DB4C6F"/>
    <w:rsid w:val="00DB61E7"/>
    <w:rsid w:val="00DB6540"/>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A6"/>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182613">
      <w:bodyDiv w:val="1"/>
      <w:marLeft w:val="0"/>
      <w:marRight w:val="0"/>
      <w:marTop w:val="0"/>
      <w:marBottom w:val="0"/>
      <w:divBdr>
        <w:top w:val="none" w:sz="0" w:space="0" w:color="auto"/>
        <w:left w:val="none" w:sz="0" w:space="0" w:color="auto"/>
        <w:bottom w:val="none" w:sz="0" w:space="0" w:color="auto"/>
        <w:right w:val="none" w:sz="0" w:space="0" w:color="auto"/>
      </w:divBdr>
      <w:divsChild>
        <w:div w:id="520553055">
          <w:marLeft w:val="0"/>
          <w:marRight w:val="0"/>
          <w:marTop w:val="0"/>
          <w:marBottom w:val="0"/>
          <w:divBdr>
            <w:top w:val="single" w:sz="2" w:space="0" w:color="auto"/>
            <w:left w:val="single" w:sz="2" w:space="0" w:color="auto"/>
            <w:bottom w:val="single" w:sz="2" w:space="0" w:color="auto"/>
            <w:right w:val="single" w:sz="2" w:space="0" w:color="auto"/>
          </w:divBdr>
          <w:divsChild>
            <w:div w:id="1494104679">
              <w:marLeft w:val="0"/>
              <w:marRight w:val="0"/>
              <w:marTop w:val="0"/>
              <w:marBottom w:val="0"/>
              <w:divBdr>
                <w:top w:val="single" w:sz="2" w:space="0" w:color="auto"/>
                <w:left w:val="single" w:sz="2" w:space="0" w:color="auto"/>
                <w:bottom w:val="single" w:sz="2" w:space="0" w:color="auto"/>
                <w:right w:val="single" w:sz="2" w:space="0" w:color="auto"/>
              </w:divBdr>
              <w:divsChild>
                <w:div w:id="2001612912">
                  <w:marLeft w:val="0"/>
                  <w:marRight w:val="0"/>
                  <w:marTop w:val="0"/>
                  <w:marBottom w:val="0"/>
                  <w:divBdr>
                    <w:top w:val="single" w:sz="2" w:space="0" w:color="auto"/>
                    <w:left w:val="single" w:sz="2" w:space="0" w:color="auto"/>
                    <w:bottom w:val="single" w:sz="2" w:space="0" w:color="auto"/>
                    <w:right w:val="single" w:sz="2" w:space="0" w:color="auto"/>
                  </w:divBdr>
                  <w:divsChild>
                    <w:div w:id="1606843405">
                      <w:marLeft w:val="0"/>
                      <w:marRight w:val="0"/>
                      <w:marTop w:val="0"/>
                      <w:marBottom w:val="0"/>
                      <w:divBdr>
                        <w:top w:val="single" w:sz="2" w:space="0" w:color="auto"/>
                        <w:left w:val="single" w:sz="2" w:space="0" w:color="auto"/>
                        <w:bottom w:val="single" w:sz="2" w:space="0" w:color="auto"/>
                        <w:right w:val="single" w:sz="2" w:space="0" w:color="auto"/>
                      </w:divBdr>
                    </w:div>
                    <w:div w:id="86286841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641814440">
          <w:marLeft w:val="0"/>
          <w:marRight w:val="0"/>
          <w:marTop w:val="0"/>
          <w:marBottom w:val="0"/>
          <w:divBdr>
            <w:top w:val="single" w:sz="2" w:space="0" w:color="auto"/>
            <w:left w:val="single" w:sz="2" w:space="0" w:color="auto"/>
            <w:bottom w:val="single" w:sz="2" w:space="0" w:color="auto"/>
            <w:right w:val="single" w:sz="2" w:space="0" w:color="auto"/>
          </w:divBdr>
          <w:divsChild>
            <w:div w:id="1486164340">
              <w:marLeft w:val="0"/>
              <w:marRight w:val="0"/>
              <w:marTop w:val="0"/>
              <w:marBottom w:val="0"/>
              <w:divBdr>
                <w:top w:val="single" w:sz="2" w:space="0" w:color="auto"/>
                <w:left w:val="single" w:sz="2" w:space="0" w:color="auto"/>
                <w:bottom w:val="single" w:sz="2" w:space="0" w:color="auto"/>
                <w:right w:val="single" w:sz="2" w:space="0" w:color="auto"/>
              </w:divBdr>
              <w:divsChild>
                <w:div w:id="213073645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310602361">
      <w:bodyDiv w:val="1"/>
      <w:marLeft w:val="0"/>
      <w:marRight w:val="0"/>
      <w:marTop w:val="0"/>
      <w:marBottom w:val="0"/>
      <w:divBdr>
        <w:top w:val="none" w:sz="0" w:space="0" w:color="auto"/>
        <w:left w:val="none" w:sz="0" w:space="0" w:color="auto"/>
        <w:bottom w:val="none" w:sz="0" w:space="0" w:color="auto"/>
        <w:right w:val="none" w:sz="0" w:space="0" w:color="auto"/>
      </w:divBdr>
    </w:div>
    <w:div w:id="345713359">
      <w:bodyDiv w:val="1"/>
      <w:marLeft w:val="0"/>
      <w:marRight w:val="0"/>
      <w:marTop w:val="0"/>
      <w:marBottom w:val="0"/>
      <w:divBdr>
        <w:top w:val="none" w:sz="0" w:space="0" w:color="auto"/>
        <w:left w:val="none" w:sz="0" w:space="0" w:color="auto"/>
        <w:bottom w:val="none" w:sz="0" w:space="0" w:color="auto"/>
        <w:right w:val="none" w:sz="0" w:space="0" w:color="auto"/>
      </w:divBdr>
    </w:div>
    <w:div w:id="379671978">
      <w:bodyDiv w:val="1"/>
      <w:marLeft w:val="0"/>
      <w:marRight w:val="0"/>
      <w:marTop w:val="0"/>
      <w:marBottom w:val="0"/>
      <w:divBdr>
        <w:top w:val="none" w:sz="0" w:space="0" w:color="auto"/>
        <w:left w:val="none" w:sz="0" w:space="0" w:color="auto"/>
        <w:bottom w:val="none" w:sz="0" w:space="0" w:color="auto"/>
        <w:right w:val="none" w:sz="0" w:space="0" w:color="auto"/>
      </w:divBdr>
    </w:div>
    <w:div w:id="404181545">
      <w:bodyDiv w:val="1"/>
      <w:marLeft w:val="0"/>
      <w:marRight w:val="0"/>
      <w:marTop w:val="0"/>
      <w:marBottom w:val="0"/>
      <w:divBdr>
        <w:top w:val="none" w:sz="0" w:space="0" w:color="auto"/>
        <w:left w:val="none" w:sz="0" w:space="0" w:color="auto"/>
        <w:bottom w:val="none" w:sz="0" w:space="0" w:color="auto"/>
        <w:right w:val="none" w:sz="0" w:space="0" w:color="auto"/>
      </w:divBdr>
    </w:div>
    <w:div w:id="412355753">
      <w:bodyDiv w:val="1"/>
      <w:marLeft w:val="0"/>
      <w:marRight w:val="0"/>
      <w:marTop w:val="0"/>
      <w:marBottom w:val="0"/>
      <w:divBdr>
        <w:top w:val="none" w:sz="0" w:space="0" w:color="auto"/>
        <w:left w:val="none" w:sz="0" w:space="0" w:color="auto"/>
        <w:bottom w:val="none" w:sz="0" w:space="0" w:color="auto"/>
        <w:right w:val="none" w:sz="0" w:space="0" w:color="auto"/>
      </w:divBdr>
    </w:div>
    <w:div w:id="462775992">
      <w:bodyDiv w:val="1"/>
      <w:marLeft w:val="0"/>
      <w:marRight w:val="0"/>
      <w:marTop w:val="0"/>
      <w:marBottom w:val="0"/>
      <w:divBdr>
        <w:top w:val="none" w:sz="0" w:space="0" w:color="auto"/>
        <w:left w:val="none" w:sz="0" w:space="0" w:color="auto"/>
        <w:bottom w:val="none" w:sz="0" w:space="0" w:color="auto"/>
        <w:right w:val="none" w:sz="0" w:space="0" w:color="auto"/>
      </w:divBdr>
    </w:div>
    <w:div w:id="468976492">
      <w:bodyDiv w:val="1"/>
      <w:marLeft w:val="0"/>
      <w:marRight w:val="0"/>
      <w:marTop w:val="0"/>
      <w:marBottom w:val="0"/>
      <w:divBdr>
        <w:top w:val="none" w:sz="0" w:space="0" w:color="auto"/>
        <w:left w:val="none" w:sz="0" w:space="0" w:color="auto"/>
        <w:bottom w:val="none" w:sz="0" w:space="0" w:color="auto"/>
        <w:right w:val="none" w:sz="0" w:space="0" w:color="auto"/>
      </w:divBdr>
    </w:div>
    <w:div w:id="470943900">
      <w:bodyDiv w:val="1"/>
      <w:marLeft w:val="0"/>
      <w:marRight w:val="0"/>
      <w:marTop w:val="0"/>
      <w:marBottom w:val="0"/>
      <w:divBdr>
        <w:top w:val="none" w:sz="0" w:space="0" w:color="auto"/>
        <w:left w:val="none" w:sz="0" w:space="0" w:color="auto"/>
        <w:bottom w:val="none" w:sz="0" w:space="0" w:color="auto"/>
        <w:right w:val="none" w:sz="0" w:space="0" w:color="auto"/>
      </w:divBdr>
    </w:div>
    <w:div w:id="51754440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2296003">
      <w:bodyDiv w:val="1"/>
      <w:marLeft w:val="0"/>
      <w:marRight w:val="0"/>
      <w:marTop w:val="0"/>
      <w:marBottom w:val="0"/>
      <w:divBdr>
        <w:top w:val="none" w:sz="0" w:space="0" w:color="auto"/>
        <w:left w:val="none" w:sz="0" w:space="0" w:color="auto"/>
        <w:bottom w:val="none" w:sz="0" w:space="0" w:color="auto"/>
        <w:right w:val="none" w:sz="0" w:space="0" w:color="auto"/>
      </w:divBdr>
    </w:div>
    <w:div w:id="681860134">
      <w:bodyDiv w:val="1"/>
      <w:marLeft w:val="0"/>
      <w:marRight w:val="0"/>
      <w:marTop w:val="0"/>
      <w:marBottom w:val="0"/>
      <w:divBdr>
        <w:top w:val="none" w:sz="0" w:space="0" w:color="auto"/>
        <w:left w:val="none" w:sz="0" w:space="0" w:color="auto"/>
        <w:bottom w:val="none" w:sz="0" w:space="0" w:color="auto"/>
        <w:right w:val="none" w:sz="0" w:space="0" w:color="auto"/>
      </w:divBdr>
    </w:div>
    <w:div w:id="77556078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722975">
      <w:bodyDiv w:val="1"/>
      <w:marLeft w:val="0"/>
      <w:marRight w:val="0"/>
      <w:marTop w:val="0"/>
      <w:marBottom w:val="0"/>
      <w:divBdr>
        <w:top w:val="none" w:sz="0" w:space="0" w:color="auto"/>
        <w:left w:val="none" w:sz="0" w:space="0" w:color="auto"/>
        <w:bottom w:val="none" w:sz="0" w:space="0" w:color="auto"/>
        <w:right w:val="none" w:sz="0" w:space="0" w:color="auto"/>
      </w:divBdr>
      <w:divsChild>
        <w:div w:id="1324352667">
          <w:marLeft w:val="0"/>
          <w:marRight w:val="0"/>
          <w:marTop w:val="0"/>
          <w:marBottom w:val="0"/>
          <w:divBdr>
            <w:top w:val="single" w:sz="2" w:space="0" w:color="auto"/>
            <w:left w:val="single" w:sz="2" w:space="0" w:color="auto"/>
            <w:bottom w:val="single" w:sz="2" w:space="0" w:color="auto"/>
            <w:right w:val="single" w:sz="2" w:space="0" w:color="auto"/>
          </w:divBdr>
          <w:divsChild>
            <w:div w:id="565578922">
              <w:marLeft w:val="0"/>
              <w:marRight w:val="0"/>
              <w:marTop w:val="0"/>
              <w:marBottom w:val="0"/>
              <w:divBdr>
                <w:top w:val="single" w:sz="2" w:space="0" w:color="auto"/>
                <w:left w:val="single" w:sz="2" w:space="0" w:color="auto"/>
                <w:bottom w:val="single" w:sz="2" w:space="0" w:color="auto"/>
                <w:right w:val="single" w:sz="2" w:space="0" w:color="auto"/>
              </w:divBdr>
              <w:divsChild>
                <w:div w:id="1605305488">
                  <w:marLeft w:val="0"/>
                  <w:marRight w:val="0"/>
                  <w:marTop w:val="0"/>
                  <w:marBottom w:val="0"/>
                  <w:divBdr>
                    <w:top w:val="single" w:sz="2" w:space="0" w:color="auto"/>
                    <w:left w:val="single" w:sz="2" w:space="0" w:color="auto"/>
                    <w:bottom w:val="single" w:sz="2" w:space="0" w:color="auto"/>
                    <w:right w:val="single" w:sz="2" w:space="0" w:color="auto"/>
                  </w:divBdr>
                  <w:divsChild>
                    <w:div w:id="1826966584">
                      <w:marLeft w:val="0"/>
                      <w:marRight w:val="0"/>
                      <w:marTop w:val="0"/>
                      <w:marBottom w:val="0"/>
                      <w:divBdr>
                        <w:top w:val="single" w:sz="2" w:space="0" w:color="auto"/>
                        <w:left w:val="single" w:sz="2" w:space="0" w:color="auto"/>
                        <w:bottom w:val="single" w:sz="2" w:space="0" w:color="auto"/>
                        <w:right w:val="single" w:sz="2" w:space="0" w:color="auto"/>
                      </w:divBdr>
                    </w:div>
                    <w:div w:id="32894477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589627727">
          <w:marLeft w:val="0"/>
          <w:marRight w:val="0"/>
          <w:marTop w:val="0"/>
          <w:marBottom w:val="0"/>
          <w:divBdr>
            <w:top w:val="single" w:sz="2" w:space="0" w:color="auto"/>
            <w:left w:val="single" w:sz="2" w:space="0" w:color="auto"/>
            <w:bottom w:val="single" w:sz="2" w:space="0" w:color="auto"/>
            <w:right w:val="single" w:sz="2" w:space="0" w:color="auto"/>
          </w:divBdr>
          <w:divsChild>
            <w:div w:id="487791789">
              <w:marLeft w:val="0"/>
              <w:marRight w:val="0"/>
              <w:marTop w:val="0"/>
              <w:marBottom w:val="0"/>
              <w:divBdr>
                <w:top w:val="single" w:sz="2" w:space="0" w:color="auto"/>
                <w:left w:val="single" w:sz="2" w:space="0" w:color="auto"/>
                <w:bottom w:val="single" w:sz="2" w:space="0" w:color="auto"/>
                <w:right w:val="single" w:sz="2" w:space="0" w:color="auto"/>
              </w:divBdr>
              <w:divsChild>
                <w:div w:id="103253422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52782198">
      <w:bodyDiv w:val="1"/>
      <w:marLeft w:val="0"/>
      <w:marRight w:val="0"/>
      <w:marTop w:val="0"/>
      <w:marBottom w:val="0"/>
      <w:divBdr>
        <w:top w:val="none" w:sz="0" w:space="0" w:color="auto"/>
        <w:left w:val="none" w:sz="0" w:space="0" w:color="auto"/>
        <w:bottom w:val="none" w:sz="0" w:space="0" w:color="auto"/>
        <w:right w:val="none" w:sz="0" w:space="0" w:color="auto"/>
      </w:divBdr>
    </w:div>
    <w:div w:id="956595424">
      <w:bodyDiv w:val="1"/>
      <w:marLeft w:val="0"/>
      <w:marRight w:val="0"/>
      <w:marTop w:val="0"/>
      <w:marBottom w:val="0"/>
      <w:divBdr>
        <w:top w:val="none" w:sz="0" w:space="0" w:color="auto"/>
        <w:left w:val="none" w:sz="0" w:space="0" w:color="auto"/>
        <w:bottom w:val="none" w:sz="0" w:space="0" w:color="auto"/>
        <w:right w:val="none" w:sz="0" w:space="0" w:color="auto"/>
      </w:divBdr>
    </w:div>
    <w:div w:id="1082530489">
      <w:bodyDiv w:val="1"/>
      <w:marLeft w:val="0"/>
      <w:marRight w:val="0"/>
      <w:marTop w:val="0"/>
      <w:marBottom w:val="0"/>
      <w:divBdr>
        <w:top w:val="none" w:sz="0" w:space="0" w:color="auto"/>
        <w:left w:val="none" w:sz="0" w:space="0" w:color="auto"/>
        <w:bottom w:val="none" w:sz="0" w:space="0" w:color="auto"/>
        <w:right w:val="none" w:sz="0" w:space="0" w:color="auto"/>
      </w:divBdr>
    </w:div>
    <w:div w:id="1115370388">
      <w:bodyDiv w:val="1"/>
      <w:marLeft w:val="0"/>
      <w:marRight w:val="0"/>
      <w:marTop w:val="0"/>
      <w:marBottom w:val="0"/>
      <w:divBdr>
        <w:top w:val="none" w:sz="0" w:space="0" w:color="auto"/>
        <w:left w:val="none" w:sz="0" w:space="0" w:color="auto"/>
        <w:bottom w:val="none" w:sz="0" w:space="0" w:color="auto"/>
        <w:right w:val="none" w:sz="0" w:space="0" w:color="auto"/>
      </w:divBdr>
    </w:div>
    <w:div w:id="118026884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483145">
      <w:bodyDiv w:val="1"/>
      <w:marLeft w:val="0"/>
      <w:marRight w:val="0"/>
      <w:marTop w:val="0"/>
      <w:marBottom w:val="0"/>
      <w:divBdr>
        <w:top w:val="none" w:sz="0" w:space="0" w:color="auto"/>
        <w:left w:val="none" w:sz="0" w:space="0" w:color="auto"/>
        <w:bottom w:val="none" w:sz="0" w:space="0" w:color="auto"/>
        <w:right w:val="none" w:sz="0" w:space="0" w:color="auto"/>
      </w:divBdr>
    </w:div>
    <w:div w:id="1304000903">
      <w:bodyDiv w:val="1"/>
      <w:marLeft w:val="0"/>
      <w:marRight w:val="0"/>
      <w:marTop w:val="0"/>
      <w:marBottom w:val="0"/>
      <w:divBdr>
        <w:top w:val="none" w:sz="0" w:space="0" w:color="auto"/>
        <w:left w:val="none" w:sz="0" w:space="0" w:color="auto"/>
        <w:bottom w:val="none" w:sz="0" w:space="0" w:color="auto"/>
        <w:right w:val="none" w:sz="0" w:space="0" w:color="auto"/>
      </w:divBdr>
    </w:div>
    <w:div w:id="1365134149">
      <w:bodyDiv w:val="1"/>
      <w:marLeft w:val="0"/>
      <w:marRight w:val="0"/>
      <w:marTop w:val="0"/>
      <w:marBottom w:val="0"/>
      <w:divBdr>
        <w:top w:val="none" w:sz="0" w:space="0" w:color="auto"/>
        <w:left w:val="none" w:sz="0" w:space="0" w:color="auto"/>
        <w:bottom w:val="none" w:sz="0" w:space="0" w:color="auto"/>
        <w:right w:val="none" w:sz="0" w:space="0" w:color="auto"/>
      </w:divBdr>
    </w:div>
    <w:div w:id="1610699594">
      <w:bodyDiv w:val="1"/>
      <w:marLeft w:val="0"/>
      <w:marRight w:val="0"/>
      <w:marTop w:val="0"/>
      <w:marBottom w:val="0"/>
      <w:divBdr>
        <w:top w:val="none" w:sz="0" w:space="0" w:color="auto"/>
        <w:left w:val="none" w:sz="0" w:space="0" w:color="auto"/>
        <w:bottom w:val="none" w:sz="0" w:space="0" w:color="auto"/>
        <w:right w:val="none" w:sz="0" w:space="0" w:color="auto"/>
      </w:divBdr>
    </w:div>
    <w:div w:id="1682586687">
      <w:bodyDiv w:val="1"/>
      <w:marLeft w:val="0"/>
      <w:marRight w:val="0"/>
      <w:marTop w:val="0"/>
      <w:marBottom w:val="0"/>
      <w:divBdr>
        <w:top w:val="none" w:sz="0" w:space="0" w:color="auto"/>
        <w:left w:val="none" w:sz="0" w:space="0" w:color="auto"/>
        <w:bottom w:val="none" w:sz="0" w:space="0" w:color="auto"/>
        <w:right w:val="none" w:sz="0" w:space="0" w:color="auto"/>
      </w:divBdr>
    </w:div>
    <w:div w:id="1745299842">
      <w:bodyDiv w:val="1"/>
      <w:marLeft w:val="0"/>
      <w:marRight w:val="0"/>
      <w:marTop w:val="0"/>
      <w:marBottom w:val="0"/>
      <w:divBdr>
        <w:top w:val="none" w:sz="0" w:space="0" w:color="auto"/>
        <w:left w:val="none" w:sz="0" w:space="0" w:color="auto"/>
        <w:bottom w:val="none" w:sz="0" w:space="0" w:color="auto"/>
        <w:right w:val="none" w:sz="0" w:space="0" w:color="auto"/>
      </w:divBdr>
    </w:div>
    <w:div w:id="1751930656">
      <w:bodyDiv w:val="1"/>
      <w:marLeft w:val="0"/>
      <w:marRight w:val="0"/>
      <w:marTop w:val="0"/>
      <w:marBottom w:val="0"/>
      <w:divBdr>
        <w:top w:val="none" w:sz="0" w:space="0" w:color="auto"/>
        <w:left w:val="none" w:sz="0" w:space="0" w:color="auto"/>
        <w:bottom w:val="none" w:sz="0" w:space="0" w:color="auto"/>
        <w:right w:val="none" w:sz="0" w:space="0" w:color="auto"/>
      </w:divBdr>
    </w:div>
    <w:div w:id="176129558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079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AE_UAE%20Energy%20Strategy%202050_Dentons.doc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112</Pages>
  <Words>26400</Words>
  <Characters>124873</Characters>
  <Application>Microsoft Office Word</Application>
  <DocSecurity>0</DocSecurity>
  <Lines>3286</Lines>
  <Paragraphs>1609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8</cp:revision>
  <cp:lastPrinted>2025-03-21T00:14:00Z</cp:lastPrinted>
  <dcterms:created xsi:type="dcterms:W3CDTF">2025-07-30T09:20:00Z</dcterms:created>
  <dcterms:modified xsi:type="dcterms:W3CDTF">2025-07-31T09:23:00Z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